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C2B" w:rsidRDefault="002E6C2B" w:rsidP="00F24FC5">
      <w:pPr>
        <w:spacing w:line="360" w:lineRule="auto"/>
        <w:rPr>
          <w:b/>
        </w:rPr>
      </w:pPr>
    </w:p>
    <w:p w:rsidR="00F24FC5" w:rsidRDefault="00F24FC5" w:rsidP="00F24FC5">
      <w:pPr>
        <w:spacing w:line="360" w:lineRule="auto"/>
        <w:rPr>
          <w:b/>
        </w:rPr>
      </w:pPr>
    </w:p>
    <w:p w:rsidR="00206640" w:rsidRDefault="009D7CA0" w:rsidP="00F24FC5">
      <w:pPr>
        <w:spacing w:line="360" w:lineRule="auto"/>
        <w:jc w:val="both"/>
      </w:pPr>
      <w:r>
        <w:t>M</w:t>
      </w:r>
      <w:r w:rsidR="00206640">
        <w:t xml:space="preserve">it </w:t>
      </w:r>
      <w:r w:rsidR="00206640" w:rsidRPr="00623DEF">
        <w:rPr>
          <w:b/>
          <w:u w:val="single"/>
        </w:rPr>
        <w:t>1. Juli 2018</w:t>
      </w:r>
      <w:r w:rsidR="00206640">
        <w:t xml:space="preserve"> </w:t>
      </w:r>
      <w:r>
        <w:t xml:space="preserve">tritt </w:t>
      </w:r>
      <w:r w:rsidR="00206640">
        <w:t>die EU-Quecksilberverordnung in Kraft, die unter anderem auch ein grundsätzliches Verbot der Verwendung von Dentalamalgam bei Kindern und Jugendlichen bis zum 15. Lebensjahr, bei Schwangeren und bei stillenden Müttern beinhaltet.</w:t>
      </w:r>
    </w:p>
    <w:p w:rsidR="004041A7" w:rsidRDefault="004041A7" w:rsidP="00F24FC5">
      <w:pPr>
        <w:spacing w:line="360" w:lineRule="auto"/>
        <w:jc w:val="both"/>
      </w:pPr>
    </w:p>
    <w:p w:rsidR="00206640" w:rsidRDefault="00206640" w:rsidP="00F24FC5">
      <w:pPr>
        <w:spacing w:line="360" w:lineRule="auto"/>
        <w:jc w:val="both"/>
      </w:pPr>
      <w:r>
        <w:t>Außerdem beinhaltet das Regierungsprogramm der derzeitigen Bundesregierung den Wunsch nach der Einführung weiterer prophylaktischer Leistungen für Kinder und Jugendliche.</w:t>
      </w:r>
    </w:p>
    <w:p w:rsidR="004041A7" w:rsidRDefault="004041A7" w:rsidP="00F24FC5">
      <w:pPr>
        <w:spacing w:line="360" w:lineRule="auto"/>
        <w:jc w:val="both"/>
      </w:pPr>
    </w:p>
    <w:p w:rsidR="00206640" w:rsidRDefault="00206640" w:rsidP="00F24FC5">
      <w:pPr>
        <w:spacing w:line="360" w:lineRule="auto"/>
        <w:jc w:val="both"/>
      </w:pPr>
      <w:r>
        <w:t>Gleichzeitig verfolgt die Österreichische Zahnärztekammer schon seit einiger Zeit den Gedanken einer Attraktivierung des Kassenvertrags mittels Erleichterungen bei der gemeinschaftlichen Erbringung von Kassenleistungen.</w:t>
      </w:r>
    </w:p>
    <w:p w:rsidR="004041A7" w:rsidRDefault="004041A7" w:rsidP="00F24FC5">
      <w:pPr>
        <w:spacing w:line="360" w:lineRule="auto"/>
        <w:jc w:val="both"/>
      </w:pPr>
    </w:p>
    <w:p w:rsidR="00206640" w:rsidRDefault="00206640" w:rsidP="00F24FC5">
      <w:pPr>
        <w:spacing w:line="360" w:lineRule="auto"/>
        <w:jc w:val="both"/>
      </w:pPr>
      <w:r>
        <w:t>Deshalb wurden bereits seit einiger Zeit intensive Verhandlungen zwischen der Österreichischen Zahnärztekammer und de</w:t>
      </w:r>
      <w:r w:rsidR="001D0B30">
        <w:t>m</w:t>
      </w:r>
      <w:r>
        <w:t xml:space="preserve"> Hauptverband der österreichischen Sozialversicherungsträger geführt, die nunmehr zu einem Vertragsabschluss geführt haben.</w:t>
      </w:r>
    </w:p>
    <w:p w:rsidR="00206640" w:rsidRDefault="00206640" w:rsidP="00F24FC5">
      <w:pPr>
        <w:spacing w:line="360" w:lineRule="auto"/>
        <w:jc w:val="both"/>
      </w:pPr>
    </w:p>
    <w:p w:rsidR="00206640" w:rsidRDefault="00206640" w:rsidP="00F24FC5">
      <w:pPr>
        <w:spacing w:line="360" w:lineRule="auto"/>
        <w:jc w:val="both"/>
      </w:pPr>
      <w:r>
        <w:t>Dies sind die wesentlichen Inhalte dieses Abschlusses:</w:t>
      </w:r>
    </w:p>
    <w:p w:rsidR="004041A7" w:rsidRDefault="004041A7" w:rsidP="00F24FC5">
      <w:pPr>
        <w:spacing w:line="360" w:lineRule="auto"/>
        <w:rPr>
          <w:b/>
          <w:u w:val="single"/>
        </w:rPr>
      </w:pPr>
    </w:p>
    <w:p w:rsidR="004041A7" w:rsidRDefault="00206640" w:rsidP="00F24FC5">
      <w:pPr>
        <w:spacing w:line="360" w:lineRule="auto"/>
        <w:jc w:val="both"/>
        <w:rPr>
          <w:b/>
          <w:u w:val="single"/>
        </w:rPr>
      </w:pPr>
      <w:r w:rsidRPr="008A42D0">
        <w:rPr>
          <w:b/>
          <w:u w:val="single"/>
        </w:rPr>
        <w:t>Einführung folgender neuer Vertragsleistungen</w:t>
      </w:r>
      <w:r>
        <w:rPr>
          <w:b/>
          <w:u w:val="single"/>
        </w:rPr>
        <w:t xml:space="preserve"> </w:t>
      </w:r>
    </w:p>
    <w:p w:rsidR="00206640" w:rsidRPr="008A42D0" w:rsidRDefault="00206640" w:rsidP="00F24FC5">
      <w:pPr>
        <w:spacing w:line="360" w:lineRule="auto"/>
        <w:jc w:val="both"/>
        <w:rPr>
          <w:b/>
          <w:u w:val="single"/>
        </w:rPr>
      </w:pPr>
      <w:r>
        <w:rPr>
          <w:b/>
          <w:u w:val="single"/>
        </w:rPr>
        <w:t xml:space="preserve">(für Vertragszahnärzte und Vertragszahnärztinnen) ab </w:t>
      </w:r>
      <w:r w:rsidRPr="00623DEF">
        <w:rPr>
          <w:b/>
          <w:color w:val="FF0000"/>
          <w:u w:val="single"/>
        </w:rPr>
        <w:t>1. Juli 2018</w:t>
      </w:r>
      <w:r w:rsidRPr="008A42D0">
        <w:rPr>
          <w:b/>
          <w:u w:val="single"/>
        </w:rPr>
        <w:t>:</w:t>
      </w:r>
    </w:p>
    <w:p w:rsidR="00206640" w:rsidRDefault="00206640" w:rsidP="00F24FC5">
      <w:pPr>
        <w:spacing w:line="360" w:lineRule="auto"/>
        <w:jc w:val="both"/>
      </w:pPr>
    </w:p>
    <w:p w:rsidR="004041A7" w:rsidRDefault="00206640" w:rsidP="00F24FC5">
      <w:pPr>
        <w:pStyle w:val="Listenabsatz"/>
        <w:numPr>
          <w:ilvl w:val="0"/>
          <w:numId w:val="1"/>
        </w:numPr>
        <w:tabs>
          <w:tab w:val="right" w:pos="9015"/>
        </w:tabs>
        <w:spacing w:after="0" w:line="360" w:lineRule="auto"/>
        <w:jc w:val="both"/>
        <w:rPr>
          <w:rFonts w:ascii="Verdana" w:hAnsi="Verdana"/>
          <w:lang w:val="de-AT"/>
        </w:rPr>
      </w:pPr>
      <w:r w:rsidRPr="008A42D0">
        <w:rPr>
          <w:rFonts w:ascii="Verdana" w:hAnsi="Verdana"/>
          <w:lang w:val="de-AT"/>
        </w:rPr>
        <w:t>Pos.</w:t>
      </w:r>
      <w:r w:rsidR="004041A7">
        <w:rPr>
          <w:rFonts w:ascii="Verdana" w:hAnsi="Verdana"/>
          <w:lang w:val="de-AT"/>
        </w:rPr>
        <w:t xml:space="preserve"> </w:t>
      </w:r>
      <w:r w:rsidRPr="008A42D0">
        <w:rPr>
          <w:rFonts w:ascii="Verdana" w:hAnsi="Verdana"/>
          <w:lang w:val="de-AT"/>
        </w:rPr>
        <w:t xml:space="preserve">Nr. 62 </w:t>
      </w:r>
    </w:p>
    <w:p w:rsidR="004041A7" w:rsidRDefault="00206640" w:rsidP="00F24FC5">
      <w:pPr>
        <w:pStyle w:val="Listenabsatz"/>
        <w:tabs>
          <w:tab w:val="right" w:pos="9015"/>
        </w:tabs>
        <w:spacing w:after="0" w:line="360" w:lineRule="auto"/>
        <w:jc w:val="both"/>
        <w:rPr>
          <w:rFonts w:ascii="Verdana" w:hAnsi="Verdana"/>
          <w:b/>
          <w:lang w:val="de-AT"/>
        </w:rPr>
      </w:pPr>
      <w:r w:rsidRPr="008A42D0">
        <w:rPr>
          <w:rFonts w:ascii="Verdana" w:hAnsi="Verdana"/>
          <w:lang w:val="de-AT"/>
        </w:rPr>
        <w:t xml:space="preserve">– </w:t>
      </w:r>
      <w:r w:rsidRPr="008A42D0">
        <w:rPr>
          <w:rFonts w:ascii="Verdana" w:hAnsi="Verdana"/>
          <w:b/>
          <w:lang w:val="de-AT"/>
        </w:rPr>
        <w:t xml:space="preserve">Amalgamersetzende </w:t>
      </w:r>
      <w:proofErr w:type="spellStart"/>
      <w:r w:rsidRPr="008A42D0">
        <w:rPr>
          <w:rFonts w:ascii="Verdana" w:hAnsi="Verdana"/>
          <w:b/>
          <w:lang w:val="de-AT"/>
        </w:rPr>
        <w:t>Einflächenfüllung</w:t>
      </w:r>
      <w:proofErr w:type="spellEnd"/>
      <w:r w:rsidRPr="008A42D0">
        <w:rPr>
          <w:rFonts w:ascii="Verdana" w:hAnsi="Verdana"/>
          <w:b/>
          <w:lang w:val="de-AT"/>
        </w:rPr>
        <w:t xml:space="preserve"> </w:t>
      </w:r>
    </w:p>
    <w:p w:rsidR="00206640" w:rsidRPr="008A42D0" w:rsidRDefault="00206640" w:rsidP="00F24FC5">
      <w:pPr>
        <w:pStyle w:val="Listenabsatz"/>
        <w:tabs>
          <w:tab w:val="right" w:pos="9015"/>
        </w:tabs>
        <w:spacing w:after="0" w:line="360" w:lineRule="auto"/>
        <w:jc w:val="both"/>
        <w:rPr>
          <w:rFonts w:ascii="Verdana" w:hAnsi="Verdana"/>
          <w:lang w:val="de-AT"/>
        </w:rPr>
      </w:pPr>
      <w:r w:rsidRPr="008A42D0">
        <w:rPr>
          <w:rFonts w:ascii="Verdana" w:hAnsi="Verdana"/>
          <w:b/>
          <w:lang w:val="de-AT"/>
        </w:rPr>
        <w:t>im Seitzahnbereich</w:t>
      </w:r>
      <w:r w:rsidRPr="008A42D0">
        <w:rPr>
          <w:rFonts w:ascii="Verdana" w:hAnsi="Verdana"/>
          <w:lang w:val="de-AT"/>
        </w:rPr>
        <w:t xml:space="preserve"> (siehe Z.</w:t>
      </w:r>
      <w:r w:rsidR="004041A7">
        <w:rPr>
          <w:rFonts w:ascii="Verdana" w:hAnsi="Verdana"/>
          <w:lang w:val="de-AT"/>
        </w:rPr>
        <w:t xml:space="preserve"> </w:t>
      </w:r>
      <w:r w:rsidRPr="008A42D0">
        <w:rPr>
          <w:rFonts w:ascii="Verdana" w:hAnsi="Verdana"/>
          <w:lang w:val="de-AT"/>
        </w:rPr>
        <w:t>4b der Erl.</w:t>
      </w:r>
      <w:r w:rsidR="004041A7">
        <w:rPr>
          <w:rFonts w:ascii="Verdana" w:hAnsi="Verdana"/>
          <w:lang w:val="de-AT"/>
        </w:rPr>
        <w:t>)</w:t>
      </w:r>
      <w:r>
        <w:rPr>
          <w:rFonts w:ascii="Verdana" w:hAnsi="Verdana"/>
          <w:lang w:val="de-AT"/>
        </w:rPr>
        <w:t xml:space="preserve"> </w:t>
      </w:r>
      <w:r w:rsidR="004041A7">
        <w:rPr>
          <w:rFonts w:ascii="Verdana" w:hAnsi="Verdana"/>
          <w:lang w:val="de-AT"/>
        </w:rPr>
        <w:tab/>
      </w:r>
      <w:r w:rsidRPr="008A42D0">
        <w:rPr>
          <w:rFonts w:ascii="Verdana" w:hAnsi="Verdana"/>
          <w:lang w:val="de-AT"/>
        </w:rPr>
        <w:t xml:space="preserve">Tarif </w:t>
      </w:r>
      <w:r w:rsidRPr="00A23AA6">
        <w:rPr>
          <w:rFonts w:ascii="Verdana" w:hAnsi="Verdana"/>
          <w:b/>
          <w:color w:val="FF0000"/>
          <w:u w:val="single"/>
          <w:lang w:val="de-AT"/>
        </w:rPr>
        <w:t>€ 36,80</w:t>
      </w:r>
    </w:p>
    <w:p w:rsidR="00206640" w:rsidRPr="008A42D0" w:rsidRDefault="00206640" w:rsidP="00F24FC5">
      <w:pPr>
        <w:pStyle w:val="Listenabsatz"/>
        <w:tabs>
          <w:tab w:val="right" w:pos="9015"/>
        </w:tabs>
        <w:spacing w:after="0" w:line="360" w:lineRule="auto"/>
        <w:jc w:val="both"/>
        <w:rPr>
          <w:rFonts w:ascii="Verdana" w:hAnsi="Verdana"/>
          <w:lang w:val="de-AT"/>
        </w:rPr>
      </w:pPr>
    </w:p>
    <w:p w:rsidR="004041A7" w:rsidRDefault="00206640" w:rsidP="00F24FC5">
      <w:pPr>
        <w:pStyle w:val="Listenabsatz"/>
        <w:numPr>
          <w:ilvl w:val="0"/>
          <w:numId w:val="1"/>
        </w:numPr>
        <w:tabs>
          <w:tab w:val="right" w:pos="9015"/>
        </w:tabs>
        <w:spacing w:after="0" w:line="360" w:lineRule="auto"/>
        <w:jc w:val="both"/>
        <w:rPr>
          <w:rFonts w:ascii="Verdana" w:hAnsi="Verdana"/>
          <w:lang w:val="de-AT"/>
        </w:rPr>
      </w:pPr>
      <w:r w:rsidRPr="008A42D0">
        <w:rPr>
          <w:rFonts w:ascii="Verdana" w:hAnsi="Verdana"/>
          <w:lang w:val="de-AT"/>
        </w:rPr>
        <w:t>Pos.</w:t>
      </w:r>
      <w:r w:rsidR="004041A7">
        <w:rPr>
          <w:rFonts w:ascii="Verdana" w:hAnsi="Verdana"/>
          <w:lang w:val="de-AT"/>
        </w:rPr>
        <w:t xml:space="preserve"> </w:t>
      </w:r>
      <w:r w:rsidRPr="008A42D0">
        <w:rPr>
          <w:rFonts w:ascii="Verdana" w:hAnsi="Verdana"/>
          <w:lang w:val="de-AT"/>
        </w:rPr>
        <w:t xml:space="preserve">Nr. 72 </w:t>
      </w:r>
    </w:p>
    <w:p w:rsidR="004041A7" w:rsidRDefault="00206640" w:rsidP="00F24FC5">
      <w:pPr>
        <w:pStyle w:val="Listenabsatz"/>
        <w:tabs>
          <w:tab w:val="right" w:pos="9015"/>
        </w:tabs>
        <w:spacing w:after="0" w:line="360" w:lineRule="auto"/>
        <w:jc w:val="both"/>
        <w:rPr>
          <w:rFonts w:ascii="Verdana" w:hAnsi="Verdana"/>
          <w:b/>
          <w:lang w:val="de-AT"/>
        </w:rPr>
      </w:pPr>
      <w:r w:rsidRPr="008A42D0">
        <w:rPr>
          <w:rFonts w:ascii="Verdana" w:hAnsi="Verdana"/>
          <w:lang w:val="de-AT"/>
        </w:rPr>
        <w:t xml:space="preserve">– </w:t>
      </w:r>
      <w:r w:rsidRPr="008A42D0">
        <w:rPr>
          <w:rFonts w:ascii="Verdana" w:hAnsi="Verdana"/>
          <w:b/>
          <w:lang w:val="de-AT"/>
        </w:rPr>
        <w:t xml:space="preserve">Amalgamersetzende Zweiflächenfüllung </w:t>
      </w:r>
    </w:p>
    <w:p w:rsidR="00206640" w:rsidRPr="008A42D0" w:rsidRDefault="00206640" w:rsidP="00F24FC5">
      <w:pPr>
        <w:pStyle w:val="Listenabsatz"/>
        <w:tabs>
          <w:tab w:val="right" w:pos="9015"/>
        </w:tabs>
        <w:spacing w:after="0" w:line="360" w:lineRule="auto"/>
        <w:jc w:val="both"/>
        <w:rPr>
          <w:rFonts w:ascii="Verdana" w:hAnsi="Verdana"/>
          <w:lang w:val="de-AT"/>
        </w:rPr>
      </w:pPr>
      <w:r w:rsidRPr="008A42D0">
        <w:rPr>
          <w:rFonts w:ascii="Verdana" w:hAnsi="Verdana"/>
          <w:b/>
          <w:lang w:val="de-AT"/>
        </w:rPr>
        <w:t>im Seitzahnbereich</w:t>
      </w:r>
      <w:r w:rsidRPr="008A42D0">
        <w:rPr>
          <w:rFonts w:ascii="Verdana" w:hAnsi="Verdana"/>
          <w:lang w:val="de-AT"/>
        </w:rPr>
        <w:t xml:space="preserve"> (siehe Z.</w:t>
      </w:r>
      <w:r w:rsidR="004041A7">
        <w:rPr>
          <w:rFonts w:ascii="Verdana" w:hAnsi="Verdana"/>
          <w:lang w:val="de-AT"/>
        </w:rPr>
        <w:t xml:space="preserve"> </w:t>
      </w:r>
      <w:r w:rsidRPr="008A42D0">
        <w:rPr>
          <w:rFonts w:ascii="Verdana" w:hAnsi="Verdana"/>
          <w:lang w:val="de-AT"/>
        </w:rPr>
        <w:t>4b der Erl.)</w:t>
      </w:r>
      <w:r w:rsidR="004041A7">
        <w:rPr>
          <w:rFonts w:ascii="Verdana" w:hAnsi="Verdana"/>
          <w:lang w:val="de-AT"/>
        </w:rPr>
        <w:t xml:space="preserve"> </w:t>
      </w:r>
      <w:r w:rsidR="004041A7">
        <w:rPr>
          <w:rFonts w:ascii="Verdana" w:hAnsi="Verdana"/>
          <w:lang w:val="de-AT"/>
        </w:rPr>
        <w:tab/>
      </w:r>
      <w:r w:rsidRPr="008A42D0">
        <w:rPr>
          <w:rFonts w:ascii="Verdana" w:hAnsi="Verdana"/>
          <w:lang w:val="de-AT"/>
        </w:rPr>
        <w:t xml:space="preserve">Tarif </w:t>
      </w:r>
      <w:r w:rsidRPr="00A23AA6">
        <w:rPr>
          <w:rFonts w:ascii="Verdana" w:hAnsi="Verdana"/>
          <w:b/>
          <w:color w:val="FF0000"/>
          <w:u w:val="single"/>
          <w:lang w:val="de-AT"/>
        </w:rPr>
        <w:t>€ 47,50</w:t>
      </w:r>
    </w:p>
    <w:p w:rsidR="00206640" w:rsidRPr="008A42D0" w:rsidRDefault="00206640" w:rsidP="00F24FC5">
      <w:pPr>
        <w:pStyle w:val="Listenabsatz"/>
        <w:tabs>
          <w:tab w:val="right" w:pos="9015"/>
        </w:tabs>
        <w:spacing w:after="0" w:line="360" w:lineRule="auto"/>
        <w:jc w:val="both"/>
        <w:rPr>
          <w:rFonts w:ascii="Verdana" w:hAnsi="Verdana"/>
          <w:lang w:val="de-AT"/>
        </w:rPr>
      </w:pPr>
    </w:p>
    <w:p w:rsidR="004041A7" w:rsidRDefault="00206640" w:rsidP="00F24FC5">
      <w:pPr>
        <w:pStyle w:val="Listenabsatz"/>
        <w:numPr>
          <w:ilvl w:val="0"/>
          <w:numId w:val="1"/>
        </w:numPr>
        <w:tabs>
          <w:tab w:val="right" w:pos="9015"/>
        </w:tabs>
        <w:spacing w:after="0" w:line="360" w:lineRule="auto"/>
        <w:jc w:val="both"/>
        <w:rPr>
          <w:rFonts w:ascii="Verdana" w:hAnsi="Verdana"/>
          <w:lang w:val="de-AT"/>
        </w:rPr>
      </w:pPr>
      <w:r w:rsidRPr="008A42D0">
        <w:rPr>
          <w:rFonts w:ascii="Verdana" w:hAnsi="Verdana"/>
          <w:lang w:val="de-AT"/>
        </w:rPr>
        <w:t>Pos.</w:t>
      </w:r>
      <w:r w:rsidR="004041A7">
        <w:rPr>
          <w:rFonts w:ascii="Verdana" w:hAnsi="Verdana"/>
          <w:lang w:val="de-AT"/>
        </w:rPr>
        <w:t xml:space="preserve"> </w:t>
      </w:r>
      <w:r w:rsidRPr="008A42D0">
        <w:rPr>
          <w:rFonts w:ascii="Verdana" w:hAnsi="Verdana"/>
          <w:lang w:val="de-AT"/>
        </w:rPr>
        <w:t xml:space="preserve">Nr. 82 </w:t>
      </w:r>
    </w:p>
    <w:p w:rsidR="004041A7" w:rsidRDefault="00206640" w:rsidP="00F24FC5">
      <w:pPr>
        <w:pStyle w:val="Listenabsatz"/>
        <w:tabs>
          <w:tab w:val="right" w:pos="9015"/>
        </w:tabs>
        <w:spacing w:after="0" w:line="360" w:lineRule="auto"/>
        <w:jc w:val="both"/>
        <w:rPr>
          <w:rFonts w:ascii="Verdana" w:hAnsi="Verdana"/>
          <w:b/>
          <w:lang w:val="de-AT"/>
        </w:rPr>
      </w:pPr>
      <w:r w:rsidRPr="008A42D0">
        <w:rPr>
          <w:rFonts w:ascii="Verdana" w:hAnsi="Verdana"/>
          <w:lang w:val="de-AT"/>
        </w:rPr>
        <w:t xml:space="preserve">– </w:t>
      </w:r>
      <w:r w:rsidRPr="008A42D0">
        <w:rPr>
          <w:rFonts w:ascii="Verdana" w:hAnsi="Verdana"/>
          <w:b/>
          <w:lang w:val="de-AT"/>
        </w:rPr>
        <w:t xml:space="preserve">Amalgamersetzende Dreiflächen- oder </w:t>
      </w:r>
    </w:p>
    <w:p w:rsidR="004041A7" w:rsidRDefault="00206640" w:rsidP="00F24FC5">
      <w:pPr>
        <w:pStyle w:val="Listenabsatz"/>
        <w:tabs>
          <w:tab w:val="right" w:pos="9015"/>
        </w:tabs>
        <w:spacing w:after="0" w:line="360" w:lineRule="auto"/>
        <w:jc w:val="both"/>
        <w:rPr>
          <w:rFonts w:ascii="Verdana" w:hAnsi="Verdana"/>
          <w:b/>
          <w:lang w:val="de-AT"/>
        </w:rPr>
      </w:pPr>
      <w:r w:rsidRPr="008A42D0">
        <w:rPr>
          <w:rFonts w:ascii="Verdana" w:hAnsi="Verdana"/>
          <w:b/>
          <w:lang w:val="de-AT"/>
        </w:rPr>
        <w:lastRenderedPageBreak/>
        <w:t xml:space="preserve">Mehrflächenfüllung im Zusammenhang </w:t>
      </w:r>
    </w:p>
    <w:p w:rsidR="00206640" w:rsidRPr="00A23AA6" w:rsidRDefault="00206640" w:rsidP="00F24FC5">
      <w:pPr>
        <w:pStyle w:val="Listenabsatz"/>
        <w:tabs>
          <w:tab w:val="right" w:pos="9015"/>
        </w:tabs>
        <w:spacing w:after="0" w:line="360" w:lineRule="auto"/>
        <w:jc w:val="both"/>
        <w:rPr>
          <w:rFonts w:ascii="Verdana" w:hAnsi="Verdana"/>
          <w:lang w:val="de-AT"/>
        </w:rPr>
      </w:pPr>
      <w:r w:rsidRPr="008A42D0">
        <w:rPr>
          <w:rFonts w:ascii="Verdana" w:hAnsi="Verdana"/>
          <w:b/>
          <w:lang w:val="de-AT"/>
        </w:rPr>
        <w:t>im Seitzahnbereich</w:t>
      </w:r>
      <w:r w:rsidRPr="008A42D0">
        <w:rPr>
          <w:rFonts w:ascii="Verdana" w:hAnsi="Verdana"/>
          <w:lang w:val="de-AT"/>
        </w:rPr>
        <w:t xml:space="preserve"> (siehe Z.</w:t>
      </w:r>
      <w:r w:rsidR="004041A7">
        <w:rPr>
          <w:rFonts w:ascii="Verdana" w:hAnsi="Verdana"/>
          <w:lang w:val="de-AT"/>
        </w:rPr>
        <w:t xml:space="preserve"> </w:t>
      </w:r>
      <w:r w:rsidRPr="008A42D0">
        <w:rPr>
          <w:rFonts w:ascii="Verdana" w:hAnsi="Verdana"/>
          <w:lang w:val="de-AT"/>
        </w:rPr>
        <w:t>4b der Erl.</w:t>
      </w:r>
      <w:r w:rsidR="004041A7">
        <w:rPr>
          <w:rFonts w:ascii="Verdana" w:hAnsi="Verdana"/>
          <w:lang w:val="de-AT"/>
        </w:rPr>
        <w:t xml:space="preserve">) </w:t>
      </w:r>
      <w:r w:rsidR="004041A7">
        <w:rPr>
          <w:rFonts w:ascii="Verdana" w:hAnsi="Verdana"/>
          <w:lang w:val="de-AT"/>
        </w:rPr>
        <w:tab/>
      </w:r>
      <w:r w:rsidRPr="008A42D0">
        <w:rPr>
          <w:rFonts w:ascii="Verdana" w:hAnsi="Verdana"/>
          <w:lang w:val="de-AT"/>
        </w:rPr>
        <w:t xml:space="preserve">Tarif </w:t>
      </w:r>
      <w:r w:rsidRPr="00A23AA6">
        <w:rPr>
          <w:rFonts w:ascii="Verdana" w:hAnsi="Verdana"/>
          <w:b/>
          <w:color w:val="FF0000"/>
          <w:u w:val="single"/>
          <w:lang w:val="de-AT"/>
        </w:rPr>
        <w:t>€ 62,40</w:t>
      </w:r>
    </w:p>
    <w:p w:rsidR="00206640" w:rsidRPr="008A42D0" w:rsidRDefault="00206640" w:rsidP="00F24FC5">
      <w:pPr>
        <w:pStyle w:val="Listenabsatz"/>
        <w:tabs>
          <w:tab w:val="right" w:pos="9015"/>
        </w:tabs>
        <w:spacing w:after="0" w:line="360" w:lineRule="auto"/>
        <w:jc w:val="both"/>
        <w:rPr>
          <w:rFonts w:ascii="Verdana" w:hAnsi="Verdana"/>
          <w:lang w:val="de-AT"/>
        </w:rPr>
      </w:pPr>
    </w:p>
    <w:p w:rsidR="004041A7" w:rsidRDefault="00206640" w:rsidP="00F24FC5">
      <w:pPr>
        <w:pStyle w:val="Listenabsatz"/>
        <w:numPr>
          <w:ilvl w:val="0"/>
          <w:numId w:val="1"/>
        </w:numPr>
        <w:tabs>
          <w:tab w:val="right" w:pos="9015"/>
        </w:tabs>
        <w:spacing w:after="0" w:line="360" w:lineRule="auto"/>
        <w:jc w:val="both"/>
        <w:rPr>
          <w:rFonts w:ascii="Verdana" w:hAnsi="Verdana"/>
          <w:lang w:val="de-AT"/>
        </w:rPr>
      </w:pPr>
      <w:r w:rsidRPr="008A42D0">
        <w:rPr>
          <w:rFonts w:ascii="Verdana" w:hAnsi="Verdana"/>
          <w:lang w:val="de-AT"/>
        </w:rPr>
        <w:t>Pos.</w:t>
      </w:r>
      <w:r w:rsidR="004041A7">
        <w:rPr>
          <w:rFonts w:ascii="Verdana" w:hAnsi="Verdana"/>
          <w:lang w:val="de-AT"/>
        </w:rPr>
        <w:t xml:space="preserve"> </w:t>
      </w:r>
      <w:r w:rsidRPr="008A42D0">
        <w:rPr>
          <w:rFonts w:ascii="Verdana" w:hAnsi="Verdana"/>
          <w:lang w:val="de-AT"/>
        </w:rPr>
        <w:t xml:space="preserve">Nr. 92 </w:t>
      </w:r>
    </w:p>
    <w:p w:rsidR="004041A7" w:rsidRDefault="00206640" w:rsidP="00F24FC5">
      <w:pPr>
        <w:pStyle w:val="Listenabsatz"/>
        <w:tabs>
          <w:tab w:val="right" w:pos="9015"/>
        </w:tabs>
        <w:spacing w:after="0" w:line="360" w:lineRule="auto"/>
        <w:rPr>
          <w:rFonts w:ascii="Verdana" w:hAnsi="Verdana"/>
          <w:b/>
          <w:lang w:val="de-AT"/>
        </w:rPr>
      </w:pPr>
      <w:r w:rsidRPr="008A42D0">
        <w:rPr>
          <w:rFonts w:ascii="Verdana" w:hAnsi="Verdana"/>
          <w:lang w:val="de-AT"/>
        </w:rPr>
        <w:t xml:space="preserve">– </w:t>
      </w:r>
      <w:r w:rsidRPr="008A42D0">
        <w:rPr>
          <w:rFonts w:ascii="Verdana" w:hAnsi="Verdana"/>
          <w:b/>
          <w:lang w:val="de-AT"/>
        </w:rPr>
        <w:t xml:space="preserve">Amalgamersetzender Aufbau mit </w:t>
      </w:r>
    </w:p>
    <w:p w:rsidR="004041A7" w:rsidRDefault="00206640" w:rsidP="00F24FC5">
      <w:pPr>
        <w:pStyle w:val="Listenabsatz"/>
        <w:tabs>
          <w:tab w:val="right" w:pos="9015"/>
        </w:tabs>
        <w:spacing w:after="0" w:line="360" w:lineRule="auto"/>
        <w:rPr>
          <w:rFonts w:ascii="Verdana" w:hAnsi="Verdana"/>
          <w:lang w:val="de-AT"/>
        </w:rPr>
      </w:pPr>
      <w:r w:rsidRPr="008A42D0">
        <w:rPr>
          <w:rFonts w:ascii="Verdana" w:hAnsi="Verdana"/>
          <w:b/>
          <w:lang w:val="de-AT"/>
        </w:rPr>
        <w:t>Höckerdeckung im Seitzahnbereich</w:t>
      </w:r>
      <w:r w:rsidRPr="008A42D0">
        <w:rPr>
          <w:rFonts w:ascii="Verdana" w:hAnsi="Verdana"/>
          <w:lang w:val="de-AT"/>
        </w:rPr>
        <w:t xml:space="preserve"> </w:t>
      </w:r>
    </w:p>
    <w:p w:rsidR="00206640" w:rsidRPr="008A42D0" w:rsidRDefault="00206640" w:rsidP="00F24FC5">
      <w:pPr>
        <w:pStyle w:val="Listenabsatz"/>
        <w:tabs>
          <w:tab w:val="right" w:pos="9015"/>
        </w:tabs>
        <w:spacing w:after="0" w:line="360" w:lineRule="auto"/>
        <w:rPr>
          <w:rFonts w:ascii="Verdana" w:hAnsi="Verdana"/>
          <w:lang w:val="de-AT"/>
        </w:rPr>
      </w:pPr>
      <w:r w:rsidRPr="008A42D0">
        <w:rPr>
          <w:rFonts w:ascii="Verdana" w:hAnsi="Verdana"/>
          <w:lang w:val="de-AT"/>
        </w:rPr>
        <w:t>(siehe Z.</w:t>
      </w:r>
      <w:r w:rsidR="004041A7">
        <w:rPr>
          <w:rFonts w:ascii="Verdana" w:hAnsi="Verdana"/>
          <w:lang w:val="de-AT"/>
        </w:rPr>
        <w:t xml:space="preserve"> </w:t>
      </w:r>
      <w:r w:rsidRPr="008A42D0">
        <w:rPr>
          <w:rFonts w:ascii="Verdana" w:hAnsi="Verdana"/>
          <w:lang w:val="de-AT"/>
        </w:rPr>
        <w:t>5a der Erl.)</w:t>
      </w:r>
      <w:r w:rsidR="004041A7">
        <w:rPr>
          <w:rFonts w:ascii="Verdana" w:hAnsi="Verdana"/>
          <w:lang w:val="de-AT"/>
        </w:rPr>
        <w:t xml:space="preserve"> </w:t>
      </w:r>
      <w:r w:rsidR="004041A7">
        <w:rPr>
          <w:rFonts w:ascii="Verdana" w:hAnsi="Verdana"/>
          <w:lang w:val="de-AT"/>
        </w:rPr>
        <w:tab/>
      </w:r>
      <w:r w:rsidRPr="008A42D0">
        <w:rPr>
          <w:rFonts w:ascii="Verdana" w:hAnsi="Verdana"/>
          <w:lang w:val="de-AT"/>
        </w:rPr>
        <w:t xml:space="preserve">Tarif </w:t>
      </w:r>
      <w:r w:rsidRPr="00A23AA6">
        <w:rPr>
          <w:rFonts w:ascii="Verdana" w:hAnsi="Verdana"/>
          <w:b/>
          <w:color w:val="FF0000"/>
          <w:u w:val="single"/>
          <w:lang w:val="de-AT"/>
        </w:rPr>
        <w:t>€ 99,10</w:t>
      </w:r>
    </w:p>
    <w:p w:rsidR="00206640" w:rsidRDefault="00206640" w:rsidP="00F24FC5">
      <w:pPr>
        <w:spacing w:line="360" w:lineRule="auto"/>
        <w:jc w:val="both"/>
      </w:pPr>
    </w:p>
    <w:p w:rsidR="00206640" w:rsidRDefault="00206640" w:rsidP="00F24FC5">
      <w:pPr>
        <w:spacing w:line="360" w:lineRule="auto"/>
        <w:jc w:val="both"/>
      </w:pPr>
      <w:r>
        <w:t xml:space="preserve">Als Füllungsmaterialien wurden für alle diese Leistungen </w:t>
      </w:r>
      <w:proofErr w:type="spellStart"/>
      <w:r w:rsidRPr="00A23AA6">
        <w:rPr>
          <w:b/>
          <w:u w:val="single"/>
        </w:rPr>
        <w:t>Glasionomerzemente</w:t>
      </w:r>
      <w:proofErr w:type="spellEnd"/>
      <w:r>
        <w:t xml:space="preserve"> vereinbart. </w:t>
      </w:r>
    </w:p>
    <w:p w:rsidR="004041A7" w:rsidRDefault="004041A7" w:rsidP="00F24FC5">
      <w:pPr>
        <w:spacing w:line="360" w:lineRule="auto"/>
        <w:jc w:val="both"/>
      </w:pPr>
    </w:p>
    <w:p w:rsidR="00206640" w:rsidRDefault="00206640" w:rsidP="00F24FC5">
      <w:pPr>
        <w:spacing w:line="360" w:lineRule="auto"/>
        <w:jc w:val="both"/>
      </w:pPr>
      <w:r>
        <w:t xml:space="preserve">Anspruch auf diese Leistungen haben Kinder bis zum vollendeten 15. Lebensjahr, Schwangere (Nachweis durch Mutter-Kind-Pass) und stillende Mütter (bis zum ersten Lebensjahr des Kindes), es sei denn, der Vertragszahnarzt/die Vertragszahnärztin erachtet eine Behandlung mit Amalgam (Pos. Nr. 6 </w:t>
      </w:r>
      <w:r w:rsidR="004041A7">
        <w:t>-</w:t>
      </w:r>
      <w:r>
        <w:t xml:space="preserve"> 9) wegen der spezifischen medizinischen Erfordernisse bei den jeweiligen Patienten als zwingend notwendig. Die sonstigen Erläuterungen zu den entsprechenden Amalgam-Honorarpositionen gelten sinngemäß.</w:t>
      </w:r>
    </w:p>
    <w:p w:rsidR="004041A7" w:rsidRDefault="004041A7" w:rsidP="00F24FC5">
      <w:pPr>
        <w:spacing w:line="360" w:lineRule="auto"/>
      </w:pPr>
    </w:p>
    <w:p w:rsidR="004041A7" w:rsidRDefault="00206640" w:rsidP="00F24FC5">
      <w:pPr>
        <w:pStyle w:val="Listenabsatz"/>
        <w:numPr>
          <w:ilvl w:val="0"/>
          <w:numId w:val="2"/>
        </w:numPr>
        <w:spacing w:after="0" w:line="360" w:lineRule="auto"/>
        <w:jc w:val="both"/>
        <w:rPr>
          <w:rFonts w:ascii="Verdana" w:hAnsi="Verdana"/>
          <w:lang w:val="de-AT"/>
        </w:rPr>
      </w:pPr>
      <w:r w:rsidRPr="00A23AA6">
        <w:rPr>
          <w:rFonts w:ascii="Verdana" w:hAnsi="Verdana"/>
          <w:lang w:val="de-AT"/>
        </w:rPr>
        <w:t>Pos.</w:t>
      </w:r>
      <w:r w:rsidR="004041A7">
        <w:rPr>
          <w:rFonts w:ascii="Verdana" w:hAnsi="Verdana"/>
          <w:lang w:val="de-AT"/>
        </w:rPr>
        <w:t xml:space="preserve"> </w:t>
      </w:r>
      <w:r w:rsidRPr="00A23AA6">
        <w:rPr>
          <w:rFonts w:ascii="Verdana" w:hAnsi="Verdana"/>
          <w:lang w:val="de-AT"/>
        </w:rPr>
        <w:t xml:space="preserve">Nr. 65 </w:t>
      </w:r>
    </w:p>
    <w:p w:rsidR="00206640" w:rsidRPr="00A23AA6" w:rsidRDefault="00206640" w:rsidP="00F24FC5">
      <w:pPr>
        <w:pStyle w:val="Listenabsatz"/>
        <w:tabs>
          <w:tab w:val="right" w:pos="9015"/>
        </w:tabs>
        <w:spacing w:after="0" w:line="360" w:lineRule="auto"/>
        <w:jc w:val="both"/>
        <w:rPr>
          <w:rFonts w:ascii="Verdana" w:hAnsi="Verdana"/>
          <w:lang w:val="de-AT"/>
        </w:rPr>
      </w:pPr>
      <w:r w:rsidRPr="00A23AA6">
        <w:rPr>
          <w:rFonts w:ascii="Verdana" w:hAnsi="Verdana"/>
          <w:lang w:val="de-AT"/>
        </w:rPr>
        <w:t xml:space="preserve">– </w:t>
      </w:r>
      <w:r w:rsidRPr="00A23AA6">
        <w:rPr>
          <w:rFonts w:ascii="Verdana" w:hAnsi="Verdana"/>
          <w:b/>
          <w:lang w:val="de-AT"/>
        </w:rPr>
        <w:t>Mundhygiene</w:t>
      </w:r>
      <w:r w:rsidRPr="00A23AA6">
        <w:rPr>
          <w:rFonts w:ascii="Verdana" w:hAnsi="Verdana"/>
          <w:lang w:val="de-AT"/>
        </w:rPr>
        <w:t xml:space="preserve"> (siehe Z.</w:t>
      </w:r>
      <w:r w:rsidR="004041A7">
        <w:rPr>
          <w:rFonts w:ascii="Verdana" w:hAnsi="Verdana"/>
          <w:lang w:val="de-AT"/>
        </w:rPr>
        <w:t xml:space="preserve"> </w:t>
      </w:r>
      <w:r w:rsidRPr="00A23AA6">
        <w:rPr>
          <w:rFonts w:ascii="Verdana" w:hAnsi="Verdana"/>
          <w:lang w:val="de-AT"/>
        </w:rPr>
        <w:t>27 der Erl.)</w:t>
      </w:r>
      <w:r w:rsidRPr="00A23AA6">
        <w:rPr>
          <w:rFonts w:ascii="Verdana" w:hAnsi="Verdana"/>
          <w:lang w:val="de-AT"/>
        </w:rPr>
        <w:tab/>
      </w:r>
      <w:r w:rsidRPr="00A23AA6">
        <w:rPr>
          <w:rFonts w:ascii="Verdana" w:hAnsi="Verdana"/>
          <w:b/>
          <w:lang w:val="de-AT"/>
        </w:rPr>
        <w:t xml:space="preserve">Tarif </w:t>
      </w:r>
      <w:r w:rsidRPr="00A23AA6">
        <w:rPr>
          <w:rFonts w:ascii="Verdana" w:hAnsi="Verdana"/>
          <w:b/>
          <w:color w:val="FF0000"/>
          <w:u w:val="single"/>
          <w:lang w:val="de-AT"/>
        </w:rPr>
        <w:t>€ 52,00</w:t>
      </w:r>
    </w:p>
    <w:p w:rsidR="00206640" w:rsidRDefault="00206640" w:rsidP="00F24FC5">
      <w:pPr>
        <w:spacing w:line="360" w:lineRule="auto"/>
        <w:jc w:val="both"/>
      </w:pPr>
    </w:p>
    <w:p w:rsidR="00206640" w:rsidRDefault="00206640" w:rsidP="00F24FC5">
      <w:pPr>
        <w:spacing w:line="360" w:lineRule="auto"/>
        <w:jc w:val="both"/>
      </w:pPr>
      <w:r>
        <w:t xml:space="preserve">Diese Leistung ist nur für </w:t>
      </w:r>
      <w:r w:rsidRPr="00A23AA6">
        <w:rPr>
          <w:b/>
          <w:u w:val="single"/>
        </w:rPr>
        <w:t>Kinder und Jugendliche zwischen dem vollendeten 10. und 18. Lebensjahr</w:t>
      </w:r>
      <w:r>
        <w:t xml:space="preserve"> einmal jährlich verrechenbar. Bei Kindern und Jugendlichen, die laufend in einer kieferorthopädischen Behandlung mit festsitzenden Geräten sind, ist die Leistung zweimal innerhalb eines Jahres verrechenbar (Vertragskieferorthopäden können diese Leistung nicht verrechnen, bei einer Zuweisung durch diese an Wahlzahnärzte ist der Patient über die Regeln für den Rückersatz aufzuklären). Zur Erbringung dieser Leistung können vom </w:t>
      </w:r>
      <w:proofErr w:type="spellStart"/>
      <w:r>
        <w:t>Vertragsbehandler</w:t>
      </w:r>
      <w:proofErr w:type="spellEnd"/>
      <w:r>
        <w:t xml:space="preserve"> </w:t>
      </w:r>
      <w:proofErr w:type="spellStart"/>
      <w:r w:rsidRPr="00623DEF">
        <w:rPr>
          <w:b/>
          <w:u w:val="single"/>
        </w:rPr>
        <w:t>Prophylaxeassistentinnen</w:t>
      </w:r>
      <w:proofErr w:type="spellEnd"/>
      <w:r w:rsidRPr="00623DEF">
        <w:rPr>
          <w:b/>
          <w:u w:val="single"/>
        </w:rPr>
        <w:t xml:space="preserve"> (</w:t>
      </w:r>
      <w:proofErr w:type="spellStart"/>
      <w:r w:rsidRPr="00623DEF">
        <w:rPr>
          <w:b/>
          <w:u w:val="single"/>
        </w:rPr>
        <w:t>PAss</w:t>
      </w:r>
      <w:proofErr w:type="spellEnd"/>
      <w:r w:rsidRPr="00623DEF">
        <w:rPr>
          <w:b/>
          <w:u w:val="single"/>
        </w:rPr>
        <w:t>)</w:t>
      </w:r>
      <w:r>
        <w:t xml:space="preserve"> herangezogen werden.</w:t>
      </w:r>
    </w:p>
    <w:p w:rsidR="00CD732A" w:rsidRDefault="00CD732A" w:rsidP="00F24FC5">
      <w:pPr>
        <w:spacing w:line="360" w:lineRule="auto"/>
        <w:jc w:val="both"/>
      </w:pPr>
    </w:p>
    <w:p w:rsidR="00CD732A" w:rsidRDefault="00CD732A" w:rsidP="00F24FC5">
      <w:pPr>
        <w:spacing w:line="360" w:lineRule="auto"/>
        <w:jc w:val="both"/>
      </w:pPr>
    </w:p>
    <w:p w:rsidR="00CD732A" w:rsidRDefault="00CD732A" w:rsidP="00F24FC5">
      <w:pPr>
        <w:spacing w:line="360" w:lineRule="auto"/>
        <w:jc w:val="both"/>
      </w:pPr>
      <w:r>
        <w:t xml:space="preserve">Betreffend die </w:t>
      </w:r>
      <w:r w:rsidRPr="00CD732A">
        <w:rPr>
          <w:b/>
          <w:u w:val="single"/>
        </w:rPr>
        <w:t>Position Nr. 1 (Beratung)</w:t>
      </w:r>
      <w:r>
        <w:t xml:space="preserve"> wurde vereinbart, dass bei Kindern bis zum vollendeten 7. Lebensjahr </w:t>
      </w:r>
      <w:r w:rsidRPr="00CD732A">
        <w:rPr>
          <w:b/>
        </w:rPr>
        <w:t xml:space="preserve">zusätzlich zur Füllungstherapie in derselben </w:t>
      </w:r>
      <w:r w:rsidRPr="00CD732A">
        <w:rPr>
          <w:b/>
        </w:rPr>
        <w:lastRenderedPageBreak/>
        <w:t>Sitzung</w:t>
      </w:r>
      <w:r>
        <w:t xml:space="preserve"> die Beratung verrechnet werden kann (und nicht wegen Erbringung zusätzlicher Leistungen gestrichen wird).</w:t>
      </w:r>
    </w:p>
    <w:p w:rsidR="00206640" w:rsidRDefault="00206640" w:rsidP="00F24FC5">
      <w:pPr>
        <w:spacing w:line="360" w:lineRule="auto"/>
        <w:jc w:val="both"/>
      </w:pPr>
    </w:p>
    <w:p w:rsidR="00F24FC5" w:rsidRDefault="00F24FC5" w:rsidP="00F24FC5">
      <w:pPr>
        <w:spacing w:line="360" w:lineRule="auto"/>
        <w:jc w:val="both"/>
      </w:pPr>
    </w:p>
    <w:p w:rsidR="00206640" w:rsidRDefault="00206640" w:rsidP="00F24FC5">
      <w:pPr>
        <w:spacing w:line="360" w:lineRule="auto"/>
        <w:jc w:val="both"/>
        <w:rPr>
          <w:b/>
          <w:u w:val="single"/>
        </w:rPr>
      </w:pPr>
      <w:r>
        <w:rPr>
          <w:b/>
          <w:u w:val="single"/>
        </w:rPr>
        <w:t xml:space="preserve">Erweiterungen bei den </w:t>
      </w:r>
      <w:proofErr w:type="spellStart"/>
      <w:r>
        <w:rPr>
          <w:b/>
          <w:u w:val="single"/>
        </w:rPr>
        <w:t>Jobsharingmöglichkeiten</w:t>
      </w:r>
      <w:proofErr w:type="spellEnd"/>
      <w:r>
        <w:rPr>
          <w:b/>
          <w:u w:val="single"/>
        </w:rPr>
        <w:t xml:space="preserve"> ab </w:t>
      </w:r>
      <w:r w:rsidRPr="00623DEF">
        <w:rPr>
          <w:b/>
          <w:color w:val="FF0000"/>
          <w:u w:val="single"/>
        </w:rPr>
        <w:t>1. Juli 2018</w:t>
      </w:r>
      <w:r>
        <w:rPr>
          <w:b/>
          <w:u w:val="single"/>
        </w:rPr>
        <w:t>:</w:t>
      </w:r>
    </w:p>
    <w:p w:rsidR="00206640" w:rsidRDefault="00206640" w:rsidP="00F24FC5">
      <w:pPr>
        <w:spacing w:line="360" w:lineRule="auto"/>
        <w:jc w:val="both"/>
      </w:pPr>
    </w:p>
    <w:p w:rsidR="00206640" w:rsidRDefault="00206640" w:rsidP="00F24FC5">
      <w:pPr>
        <w:spacing w:line="360" w:lineRule="auto"/>
        <w:jc w:val="both"/>
      </w:pPr>
      <w:r>
        <w:t xml:space="preserve">Folgende weitere Sachverhalte wurden als Voraussetzung für die Begründung von </w:t>
      </w:r>
      <w:proofErr w:type="spellStart"/>
      <w:r>
        <w:t>Jobsharingverhältnissen</w:t>
      </w:r>
      <w:proofErr w:type="spellEnd"/>
      <w:r>
        <w:t xml:space="preserve"> neu definiert:</w:t>
      </w:r>
    </w:p>
    <w:p w:rsidR="00206640" w:rsidRDefault="00206640" w:rsidP="00F24FC5">
      <w:pPr>
        <w:spacing w:line="360" w:lineRule="auto"/>
        <w:jc w:val="both"/>
      </w:pPr>
    </w:p>
    <w:p w:rsidR="00206640" w:rsidRPr="00E238C6" w:rsidRDefault="00206640" w:rsidP="00F24FC5">
      <w:pPr>
        <w:pStyle w:val="Listenabsatz"/>
        <w:numPr>
          <w:ilvl w:val="0"/>
          <w:numId w:val="2"/>
        </w:numPr>
        <w:spacing w:after="0" w:line="360" w:lineRule="auto"/>
        <w:jc w:val="both"/>
        <w:rPr>
          <w:rFonts w:ascii="Verdana" w:hAnsi="Verdana"/>
          <w:lang w:val="de-AT"/>
        </w:rPr>
      </w:pPr>
      <w:r w:rsidRPr="00E238C6">
        <w:rPr>
          <w:rFonts w:ascii="Verdana" w:hAnsi="Verdana"/>
          <w:lang w:val="de-AT"/>
        </w:rPr>
        <w:t>Als Vorgriff auf eine noch zu schaffende Lehrpraxisregelung mit einem Job</w:t>
      </w:r>
      <w:r w:rsidR="00F24FC5" w:rsidRPr="00E238C6">
        <w:rPr>
          <w:rFonts w:ascii="Verdana" w:hAnsi="Verdana"/>
          <w:lang w:val="de-AT"/>
        </w:rPr>
        <w:t>-</w:t>
      </w:r>
      <w:proofErr w:type="spellStart"/>
      <w:r w:rsidRPr="00E238C6">
        <w:rPr>
          <w:rFonts w:ascii="Verdana" w:hAnsi="Verdana"/>
          <w:lang w:val="de-AT"/>
        </w:rPr>
        <w:t>sharingpartner</w:t>
      </w:r>
      <w:proofErr w:type="spellEnd"/>
      <w:r w:rsidRPr="00E238C6">
        <w:rPr>
          <w:rFonts w:ascii="Verdana" w:hAnsi="Verdana"/>
          <w:lang w:val="de-AT"/>
        </w:rPr>
        <w:t xml:space="preserve">, der seine Ausbildung (Studium der Zahnmedizin bzw. eine Weiterbildung zum Kieferorthopäden) in den letzten zwei Jahren abgeschlossen hat und die Berechtigung zur selbstständigen Ausübung des zahnärztlichen Berufes in Österreich gemäß dem Zahnärztegesetz in der geltenden Fassung erlangt hat (in diesem Fall dürfen beide </w:t>
      </w:r>
      <w:proofErr w:type="spellStart"/>
      <w:r w:rsidRPr="00E238C6">
        <w:rPr>
          <w:rFonts w:ascii="Verdana" w:hAnsi="Verdana"/>
          <w:lang w:val="de-AT"/>
        </w:rPr>
        <w:t>Jobsharingpartner</w:t>
      </w:r>
      <w:proofErr w:type="spellEnd"/>
      <w:r w:rsidRPr="00E238C6">
        <w:rPr>
          <w:rFonts w:ascii="Verdana" w:hAnsi="Verdana"/>
          <w:lang w:val="de-AT"/>
        </w:rPr>
        <w:t xml:space="preserve"> gleichzeitig in der Ordination tätig sein).</w:t>
      </w:r>
    </w:p>
    <w:p w:rsidR="00206640" w:rsidRPr="002968C6" w:rsidRDefault="00206640" w:rsidP="00F24FC5">
      <w:pPr>
        <w:pStyle w:val="Listenabsatz"/>
        <w:spacing w:after="0" w:line="360" w:lineRule="auto"/>
        <w:jc w:val="both"/>
        <w:rPr>
          <w:rFonts w:ascii="Verdana" w:hAnsi="Verdana"/>
          <w:lang w:val="de-AT"/>
        </w:rPr>
      </w:pPr>
    </w:p>
    <w:p w:rsidR="00206640" w:rsidRPr="00E9760D" w:rsidRDefault="00206640" w:rsidP="00F24FC5">
      <w:pPr>
        <w:pStyle w:val="Listenabsatz"/>
        <w:numPr>
          <w:ilvl w:val="0"/>
          <w:numId w:val="2"/>
        </w:numPr>
        <w:spacing w:after="0" w:line="360" w:lineRule="auto"/>
        <w:jc w:val="both"/>
        <w:rPr>
          <w:rFonts w:ascii="Verdana" w:hAnsi="Verdana"/>
          <w:lang w:val="de-AT"/>
        </w:rPr>
      </w:pPr>
      <w:r w:rsidRPr="002968C6">
        <w:rPr>
          <w:rFonts w:ascii="Verdana" w:hAnsi="Verdana"/>
          <w:lang w:val="de-AT"/>
        </w:rPr>
        <w:t>Wenn als Folge einer Erkrankung die vollständige Erfüllung der vertraglichen Pflichten längerfristig nicht möglich ist.</w:t>
      </w:r>
    </w:p>
    <w:p w:rsidR="00206640" w:rsidRPr="00E9760D" w:rsidRDefault="00206640" w:rsidP="00F24FC5">
      <w:pPr>
        <w:pStyle w:val="Listenabsatz"/>
        <w:spacing w:after="0" w:line="360" w:lineRule="auto"/>
        <w:jc w:val="both"/>
        <w:rPr>
          <w:rFonts w:ascii="Verdana" w:hAnsi="Verdana"/>
          <w:lang w:val="de-AT"/>
        </w:rPr>
      </w:pPr>
    </w:p>
    <w:p w:rsidR="00206640" w:rsidRPr="00F24FC5" w:rsidRDefault="00206640" w:rsidP="00F24FC5">
      <w:pPr>
        <w:pStyle w:val="Listenabsatz"/>
        <w:numPr>
          <w:ilvl w:val="0"/>
          <w:numId w:val="2"/>
        </w:numPr>
        <w:spacing w:after="0" w:line="360" w:lineRule="auto"/>
        <w:jc w:val="both"/>
        <w:rPr>
          <w:rFonts w:ascii="Verdana" w:hAnsi="Verdana"/>
          <w:spacing w:val="-4"/>
          <w:lang w:val="de-AT"/>
        </w:rPr>
      </w:pPr>
      <w:r w:rsidRPr="00F24FC5">
        <w:rPr>
          <w:rFonts w:ascii="Verdana" w:hAnsi="Verdana"/>
          <w:spacing w:val="-4"/>
          <w:lang w:val="de-AT"/>
        </w:rPr>
        <w:t>Wenn durch die vollständige Erfüllung der vertraglichen Pflichten nachgewiesen eine ernsthafte Erkrankung droht oder begünstigt wird, durch die die vollständige Erfüllung der vertraglichen Pflichten nicht mehr möglich wäre.</w:t>
      </w:r>
    </w:p>
    <w:p w:rsidR="00206640" w:rsidRDefault="00206640" w:rsidP="00F24FC5">
      <w:pPr>
        <w:pStyle w:val="Listenabsatz"/>
        <w:spacing w:after="0" w:line="360" w:lineRule="auto"/>
        <w:jc w:val="both"/>
        <w:rPr>
          <w:rFonts w:ascii="Verdana" w:hAnsi="Verdana"/>
          <w:lang w:val="de-AT"/>
        </w:rPr>
      </w:pPr>
    </w:p>
    <w:p w:rsidR="00206640" w:rsidRDefault="00206640" w:rsidP="00F24FC5">
      <w:pPr>
        <w:pStyle w:val="Listenabsatz"/>
        <w:numPr>
          <w:ilvl w:val="0"/>
          <w:numId w:val="2"/>
        </w:numPr>
        <w:spacing w:after="0" w:line="360" w:lineRule="auto"/>
        <w:jc w:val="both"/>
        <w:rPr>
          <w:rFonts w:ascii="Verdana" w:hAnsi="Verdana"/>
          <w:lang w:val="de-AT"/>
        </w:rPr>
      </w:pPr>
      <w:r w:rsidRPr="002968C6">
        <w:rPr>
          <w:rFonts w:ascii="Verdana" w:hAnsi="Verdana"/>
          <w:lang w:val="de-AT"/>
        </w:rPr>
        <w:t>Berufliche zahnmedizinische Fort- oder Weiterbildung, deren zeitliche Inanspruchnahme so umfangreich ist, dass eine vollständige Erfüllung der vertraglichen Pflichten nicht mehr möglich ist.</w:t>
      </w:r>
    </w:p>
    <w:p w:rsidR="00E238C6" w:rsidRPr="00E238C6" w:rsidRDefault="00E238C6" w:rsidP="00E238C6">
      <w:pPr>
        <w:spacing w:line="360" w:lineRule="auto"/>
        <w:jc w:val="both"/>
      </w:pPr>
    </w:p>
    <w:p w:rsidR="00206640" w:rsidRDefault="00206640" w:rsidP="00F24FC5">
      <w:pPr>
        <w:spacing w:line="360" w:lineRule="auto"/>
        <w:jc w:val="both"/>
      </w:pPr>
      <w:r>
        <w:t xml:space="preserve">Für alle diese weiteren </w:t>
      </w:r>
      <w:proofErr w:type="spellStart"/>
      <w:r>
        <w:t>Jobsharingmöglichkeiten</w:t>
      </w:r>
      <w:proofErr w:type="spellEnd"/>
      <w:r>
        <w:t xml:space="preserve"> gilt wie für die bisherigen, dass die Dauer jeweils bis zu 5 Jahre betragen kann, bei Einvernehmen zwischen Kasse und Kammer können diese Zeiträume auch verlängert werden.</w:t>
      </w:r>
    </w:p>
    <w:p w:rsidR="00F24FC5" w:rsidRDefault="00F24FC5" w:rsidP="00F24FC5">
      <w:pPr>
        <w:spacing w:line="360" w:lineRule="auto"/>
        <w:jc w:val="both"/>
      </w:pPr>
    </w:p>
    <w:p w:rsidR="00206640" w:rsidRDefault="00206640" w:rsidP="00F24FC5">
      <w:pPr>
        <w:spacing w:line="360" w:lineRule="auto"/>
        <w:jc w:val="both"/>
      </w:pPr>
      <w:r>
        <w:t>Außerdem wurde in jenen Fällen, in denen es zu Streitigkeiten im Zusammenhang mit dem Jobsharing kommt, nunmehr als zweite Instanz eine gemeinsame Schlichtungsmöglichkeit auf Bundesebene eingeführt.</w:t>
      </w:r>
    </w:p>
    <w:p w:rsidR="00206640" w:rsidRDefault="00206640" w:rsidP="00F24FC5">
      <w:pPr>
        <w:spacing w:line="360" w:lineRule="auto"/>
        <w:jc w:val="both"/>
      </w:pPr>
    </w:p>
    <w:p w:rsidR="00206640" w:rsidRDefault="00206640" w:rsidP="00F24FC5">
      <w:pPr>
        <w:spacing w:line="360" w:lineRule="auto"/>
        <w:jc w:val="both"/>
      </w:pPr>
    </w:p>
    <w:p w:rsidR="00206640" w:rsidRDefault="00206640" w:rsidP="00F24FC5">
      <w:pPr>
        <w:spacing w:line="360" w:lineRule="auto"/>
        <w:jc w:val="both"/>
      </w:pPr>
      <w:r>
        <w:t xml:space="preserve">Die genauen Texte der neuen Tarifpositionen und der damit im Zusammenhang stehenden Erläuterungen sowie die Veränderungen des </w:t>
      </w:r>
      <w:proofErr w:type="spellStart"/>
      <w:r>
        <w:t>Jobsharingvertrags</w:t>
      </w:r>
      <w:proofErr w:type="spellEnd"/>
      <w:r>
        <w:t xml:space="preserve"> und des Gesamtvertrags Kieferorthopädie können Sie ab sofort auf unserer Homepage </w:t>
      </w:r>
      <w:hyperlink r:id="rId8" w:history="1">
        <w:r w:rsidRPr="00F24FC5">
          <w:rPr>
            <w:rStyle w:val="Hyperlink"/>
            <w:spacing w:val="-4"/>
          </w:rPr>
          <w:t>www.zahnaerztekammer.at</w:t>
        </w:r>
      </w:hyperlink>
      <w:r w:rsidRPr="00F24FC5">
        <w:rPr>
          <w:spacing w:val="-4"/>
        </w:rPr>
        <w:t xml:space="preserve"> unter </w:t>
      </w:r>
      <w:r w:rsidRPr="00F24FC5">
        <w:rPr>
          <w:i/>
          <w:spacing w:val="-4"/>
        </w:rPr>
        <w:t>ZahnärztInnen/</w:t>
      </w:r>
      <w:proofErr w:type="spellStart"/>
      <w:r w:rsidRPr="00F24FC5">
        <w:rPr>
          <w:i/>
          <w:spacing w:val="-4"/>
        </w:rPr>
        <w:t>Infocenter</w:t>
      </w:r>
      <w:proofErr w:type="spellEnd"/>
      <w:r w:rsidRPr="00F24FC5">
        <w:rPr>
          <w:i/>
          <w:spacing w:val="-4"/>
        </w:rPr>
        <w:t>/</w:t>
      </w:r>
      <w:r w:rsidR="00F24FC5" w:rsidRPr="00F24FC5">
        <w:rPr>
          <w:i/>
          <w:spacing w:val="-4"/>
        </w:rPr>
        <w:t>A</w:t>
      </w:r>
      <w:r w:rsidRPr="00F24FC5">
        <w:rPr>
          <w:i/>
          <w:spacing w:val="-4"/>
        </w:rPr>
        <w:t>mtliche Mitteilungen/</w:t>
      </w:r>
      <w:r w:rsidR="00F24FC5" w:rsidRPr="00F24FC5">
        <w:rPr>
          <w:i/>
          <w:spacing w:val="-4"/>
        </w:rPr>
        <w:br/>
      </w:r>
      <w:r w:rsidRPr="00F24FC5">
        <w:rPr>
          <w:i/>
        </w:rPr>
        <w:t>Gesamtvertragliche Vereinbarungen</w:t>
      </w:r>
      <w:r>
        <w:t xml:space="preserve"> einsehen.</w:t>
      </w:r>
    </w:p>
    <w:p w:rsidR="00206640" w:rsidRDefault="00206640" w:rsidP="00F24FC5">
      <w:pPr>
        <w:spacing w:line="360" w:lineRule="auto"/>
        <w:jc w:val="both"/>
      </w:pPr>
    </w:p>
    <w:p w:rsidR="00206640" w:rsidRDefault="00206640" w:rsidP="00F24FC5">
      <w:pPr>
        <w:spacing w:line="360" w:lineRule="auto"/>
        <w:jc w:val="both"/>
      </w:pPr>
    </w:p>
    <w:p w:rsidR="00206640" w:rsidRDefault="00206640" w:rsidP="00F24FC5">
      <w:pPr>
        <w:spacing w:line="360" w:lineRule="auto"/>
        <w:jc w:val="both"/>
      </w:pPr>
      <w:r>
        <w:t xml:space="preserve">Sehr geehrte Kolleginnen und Kollegen, ich denke, dass es uns mit diesen neuen vertraglichen Bestimmungen gelungen ist, eine </w:t>
      </w:r>
      <w:r w:rsidRPr="00F24FC5">
        <w:rPr>
          <w:b/>
        </w:rPr>
        <w:t>zeitgemäße Lösung für den Amalgamersatz</w:t>
      </w:r>
      <w:r>
        <w:t xml:space="preserve"> </w:t>
      </w:r>
      <w:r w:rsidR="00150BC2">
        <w:t xml:space="preserve">entsprechend der EU-Verordnung </w:t>
      </w:r>
      <w:r w:rsidR="00F24FC5">
        <w:t>-</w:t>
      </w:r>
      <w:r>
        <w:t xml:space="preserve"> bei Erhalt höherwertiger Alternativen im Privatbereich – anzubieten. </w:t>
      </w:r>
    </w:p>
    <w:p w:rsidR="00F24FC5" w:rsidRDefault="00F24FC5" w:rsidP="00F24FC5">
      <w:pPr>
        <w:spacing w:line="360" w:lineRule="auto"/>
        <w:jc w:val="both"/>
      </w:pPr>
    </w:p>
    <w:p w:rsidR="00206640" w:rsidRDefault="00206640" w:rsidP="00F24FC5">
      <w:pPr>
        <w:spacing w:line="360" w:lineRule="auto"/>
        <w:jc w:val="both"/>
      </w:pPr>
      <w:r>
        <w:t xml:space="preserve">Die </w:t>
      </w:r>
      <w:r w:rsidRPr="00F24FC5">
        <w:rPr>
          <w:b/>
        </w:rPr>
        <w:t>Mundhygieneleistung für Kinder und Jugendliche</w:t>
      </w:r>
      <w:r>
        <w:t xml:space="preserve"> sehe</w:t>
      </w:r>
      <w:r w:rsidR="009D7CA0">
        <w:t>n</w:t>
      </w:r>
      <w:r>
        <w:t xml:space="preserve"> </w:t>
      </w:r>
      <w:r w:rsidR="009D7CA0">
        <w:t>wir</w:t>
      </w:r>
      <w:r>
        <w:t xml:space="preserve"> als unseren Beitrag für den Einstieg in eine verbesserte Prophylaxe und als Anreiz für Erwachsene, diese wichtige medizinische Maßnahme noch stärker nachzufragen.</w:t>
      </w:r>
    </w:p>
    <w:p w:rsidR="00F24FC5" w:rsidRDefault="00F24FC5" w:rsidP="00F24FC5">
      <w:pPr>
        <w:spacing w:line="360" w:lineRule="auto"/>
        <w:jc w:val="both"/>
      </w:pPr>
    </w:p>
    <w:p w:rsidR="00206640" w:rsidRDefault="00206640" w:rsidP="00F24FC5">
      <w:pPr>
        <w:spacing w:line="360" w:lineRule="auto"/>
        <w:jc w:val="both"/>
      </w:pPr>
      <w:r>
        <w:t xml:space="preserve">Mit der </w:t>
      </w:r>
      <w:r w:rsidRPr="00F24FC5">
        <w:rPr>
          <w:b/>
        </w:rPr>
        <w:t>Erweiterung der Möglichkeiten beim Jobsharing</w:t>
      </w:r>
      <w:r>
        <w:t xml:space="preserve"> ist uns ein weiterer wichtiger Schritt für die vertragszahnärztliche Zusammenarbeit gelungen, der den geänderten Lebens- und Arbeitsumständen der heutigen Zeit entspricht.</w:t>
      </w:r>
    </w:p>
    <w:p w:rsidR="00206640" w:rsidRDefault="00206640" w:rsidP="00F24FC5">
      <w:pPr>
        <w:spacing w:line="360" w:lineRule="auto"/>
        <w:jc w:val="both"/>
      </w:pPr>
    </w:p>
    <w:p w:rsidR="00206640" w:rsidRDefault="00206640" w:rsidP="00F24FC5">
      <w:pPr>
        <w:spacing w:line="360" w:lineRule="auto"/>
        <w:jc w:val="center"/>
      </w:pPr>
    </w:p>
    <w:p w:rsidR="00206640" w:rsidRDefault="00F24FC5" w:rsidP="00F24FC5">
      <w:pPr>
        <w:jc w:val="center"/>
      </w:pPr>
      <w:r>
        <w:t>MR Dr. T</w:t>
      </w:r>
      <w:r w:rsidR="00E13953">
        <w:t>homas</w:t>
      </w:r>
      <w:bookmarkStart w:id="0" w:name="_GoBack"/>
      <w:bookmarkEnd w:id="0"/>
      <w:r>
        <w:t xml:space="preserve"> Horejs</w:t>
      </w:r>
    </w:p>
    <w:p w:rsidR="009D7CA0" w:rsidRDefault="009D7CA0" w:rsidP="00F24FC5">
      <w:pPr>
        <w:jc w:val="center"/>
      </w:pPr>
    </w:p>
    <w:p w:rsidR="00206640" w:rsidRPr="00E9760D" w:rsidRDefault="009D7CA0" w:rsidP="00F24FC5">
      <w:pPr>
        <w:spacing w:line="360" w:lineRule="auto"/>
        <w:jc w:val="center"/>
      </w:pPr>
      <w:r>
        <w:t>Generalsekretär</w:t>
      </w:r>
    </w:p>
    <w:sectPr w:rsidR="00206640" w:rsidRPr="00E9760D" w:rsidSect="001D0B30">
      <w:headerReference w:type="default" r:id="rId9"/>
      <w:footerReference w:type="default" r:id="rId10"/>
      <w:pgSz w:w="11906" w:h="16838"/>
      <w:pgMar w:top="1417" w:right="1417" w:bottom="1134" w:left="1417" w:header="720" w:footer="0" w:gutter="0"/>
      <w:cols w:space="720"/>
      <w:titlePg/>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8FF" w:rsidRDefault="001208FF">
      <w:r>
        <w:separator/>
      </w:r>
    </w:p>
  </w:endnote>
  <w:endnote w:type="continuationSeparator" w:id="0">
    <w:p w:rsidR="001208FF" w:rsidRDefault="00120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E61" w:rsidRPr="00A667D7" w:rsidRDefault="002D7E61" w:rsidP="002D7E61">
    <w:pPr>
      <w:tabs>
        <w:tab w:val="left" w:pos="1134"/>
        <w:tab w:val="left" w:pos="1701"/>
        <w:tab w:val="left" w:pos="6521"/>
      </w:tabs>
      <w:spacing w:line="192" w:lineRule="exact"/>
      <w:jc w:val="center"/>
      <w:rPr>
        <w:rFonts w:ascii="Arial" w:hAnsi="Arial"/>
        <w:sz w:val="14"/>
        <w:szCs w:val="14"/>
      </w:rPr>
    </w:pPr>
  </w:p>
  <w:p w:rsidR="002D7E61" w:rsidRDefault="002D7E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8FF" w:rsidRDefault="001208FF">
      <w:r>
        <w:separator/>
      </w:r>
    </w:p>
  </w:footnote>
  <w:footnote w:type="continuationSeparator" w:id="0">
    <w:p w:rsidR="001208FF" w:rsidRDefault="00120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2031944875"/>
      <w:docPartObj>
        <w:docPartGallery w:val="Page Numbers (Top of Page)"/>
        <w:docPartUnique/>
      </w:docPartObj>
    </w:sdtPr>
    <w:sdtEndPr/>
    <w:sdtContent>
      <w:p w:rsidR="001D0B30" w:rsidRDefault="001D0B30" w:rsidP="001D0B30">
        <w:pPr>
          <w:pStyle w:val="Kopfzeile"/>
          <w:jc w:val="center"/>
          <w:rPr>
            <w:sz w:val="16"/>
            <w:szCs w:val="16"/>
          </w:rPr>
        </w:pPr>
        <w:r>
          <w:rPr>
            <w:sz w:val="16"/>
            <w:szCs w:val="16"/>
          </w:rPr>
          <w:t xml:space="preserve">- </w:t>
        </w:r>
        <w:r w:rsidRPr="001D0B30">
          <w:rPr>
            <w:sz w:val="16"/>
            <w:szCs w:val="16"/>
          </w:rPr>
          <w:fldChar w:fldCharType="begin"/>
        </w:r>
        <w:r w:rsidRPr="001D0B30">
          <w:rPr>
            <w:sz w:val="16"/>
            <w:szCs w:val="16"/>
          </w:rPr>
          <w:instrText>PAGE   \* MERGEFORMAT</w:instrText>
        </w:r>
        <w:r w:rsidRPr="001D0B30">
          <w:rPr>
            <w:sz w:val="16"/>
            <w:szCs w:val="16"/>
          </w:rPr>
          <w:fldChar w:fldCharType="separate"/>
        </w:r>
        <w:r w:rsidRPr="001D0B30">
          <w:rPr>
            <w:sz w:val="16"/>
            <w:szCs w:val="16"/>
            <w:lang w:val="de-DE"/>
          </w:rPr>
          <w:t>2</w:t>
        </w:r>
        <w:r w:rsidRPr="001D0B30">
          <w:rPr>
            <w:sz w:val="16"/>
            <w:szCs w:val="16"/>
          </w:rPr>
          <w:fldChar w:fldCharType="end"/>
        </w:r>
        <w:r>
          <w:rPr>
            <w:sz w:val="16"/>
            <w:szCs w:val="16"/>
          </w:rPr>
          <w:t xml:space="preserve"> -</w:t>
        </w:r>
      </w:p>
      <w:p w:rsidR="001D0B30" w:rsidRDefault="001D0B30" w:rsidP="001D0B30">
        <w:pPr>
          <w:pStyle w:val="Kopfzeile"/>
          <w:jc w:val="center"/>
          <w:rPr>
            <w:sz w:val="16"/>
            <w:szCs w:val="16"/>
          </w:rPr>
        </w:pPr>
      </w:p>
      <w:p w:rsidR="001D0B30" w:rsidRDefault="001D0B30" w:rsidP="001D0B30">
        <w:pPr>
          <w:pStyle w:val="Kopfzeile"/>
          <w:jc w:val="center"/>
          <w:rPr>
            <w:sz w:val="16"/>
            <w:szCs w:val="16"/>
          </w:rPr>
        </w:pPr>
      </w:p>
      <w:p w:rsidR="001D0B30" w:rsidRPr="001D0B30" w:rsidRDefault="001208FF" w:rsidP="001D0B30">
        <w:pPr>
          <w:pStyle w:val="Kopfzeile"/>
          <w:jc w:val="center"/>
          <w:rPr>
            <w:sz w:val="16"/>
            <w:szCs w:val="16"/>
          </w:rPr>
        </w:pPr>
      </w:p>
    </w:sdtContent>
  </w:sdt>
  <w:p w:rsidR="001D0B30" w:rsidRDefault="001D0B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E52146"/>
    <w:multiLevelType w:val="hybridMultilevel"/>
    <w:tmpl w:val="91B43240"/>
    <w:lvl w:ilvl="0" w:tplc="09460DB0">
      <w:start w:val="1"/>
      <w:numFmt w:val="bullet"/>
      <w:lvlText w:val=""/>
      <w:lvlJc w:val="left"/>
      <w:pPr>
        <w:ind w:left="720" w:hanging="360"/>
      </w:pPr>
      <w:rPr>
        <w:rFonts w:ascii="Verdana" w:hAnsi="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3C03E40"/>
    <w:multiLevelType w:val="hybridMultilevel"/>
    <w:tmpl w:val="15524280"/>
    <w:lvl w:ilvl="0" w:tplc="CD5856AC">
      <w:start w:val="1"/>
      <w:numFmt w:val="bullet"/>
      <w:lvlText w:val=""/>
      <w:lvlJc w:val="left"/>
      <w:pPr>
        <w:ind w:left="720" w:hanging="360"/>
      </w:pPr>
      <w:rPr>
        <w:rFonts w:ascii="Verdana" w:hAnsi="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C2B"/>
    <w:rsid w:val="0001658E"/>
    <w:rsid w:val="000350D6"/>
    <w:rsid w:val="00040008"/>
    <w:rsid w:val="00070BC8"/>
    <w:rsid w:val="000B7C1C"/>
    <w:rsid w:val="000E089A"/>
    <w:rsid w:val="000E7F21"/>
    <w:rsid w:val="001208FF"/>
    <w:rsid w:val="00150BC2"/>
    <w:rsid w:val="001932CB"/>
    <w:rsid w:val="001A1050"/>
    <w:rsid w:val="001D0B30"/>
    <w:rsid w:val="00206640"/>
    <w:rsid w:val="00207B7C"/>
    <w:rsid w:val="0022193C"/>
    <w:rsid w:val="002A4CA3"/>
    <w:rsid w:val="002C3080"/>
    <w:rsid w:val="002D7E61"/>
    <w:rsid w:val="002E5246"/>
    <w:rsid w:val="002E6C2B"/>
    <w:rsid w:val="00372F06"/>
    <w:rsid w:val="003923FC"/>
    <w:rsid w:val="00393CAB"/>
    <w:rsid w:val="003B1884"/>
    <w:rsid w:val="004041A7"/>
    <w:rsid w:val="00430AEE"/>
    <w:rsid w:val="00457544"/>
    <w:rsid w:val="00471B56"/>
    <w:rsid w:val="004A0A81"/>
    <w:rsid w:val="004C583D"/>
    <w:rsid w:val="004D0A54"/>
    <w:rsid w:val="0053558C"/>
    <w:rsid w:val="00575E3C"/>
    <w:rsid w:val="005D6909"/>
    <w:rsid w:val="006351A8"/>
    <w:rsid w:val="00691D6C"/>
    <w:rsid w:val="006B3C13"/>
    <w:rsid w:val="00766762"/>
    <w:rsid w:val="007871D0"/>
    <w:rsid w:val="007D5898"/>
    <w:rsid w:val="00814399"/>
    <w:rsid w:val="008479C2"/>
    <w:rsid w:val="00875A9D"/>
    <w:rsid w:val="008863FB"/>
    <w:rsid w:val="008D4067"/>
    <w:rsid w:val="008D7FC4"/>
    <w:rsid w:val="008F41DA"/>
    <w:rsid w:val="0098079E"/>
    <w:rsid w:val="009822C2"/>
    <w:rsid w:val="009C770D"/>
    <w:rsid w:val="009D7CA0"/>
    <w:rsid w:val="00A07945"/>
    <w:rsid w:val="00A33440"/>
    <w:rsid w:val="00A4720C"/>
    <w:rsid w:val="00A75A41"/>
    <w:rsid w:val="00AE1304"/>
    <w:rsid w:val="00B024E1"/>
    <w:rsid w:val="00B849D9"/>
    <w:rsid w:val="00B957A4"/>
    <w:rsid w:val="00BA5B79"/>
    <w:rsid w:val="00BB16AB"/>
    <w:rsid w:val="00C272C0"/>
    <w:rsid w:val="00C27768"/>
    <w:rsid w:val="00C36DFC"/>
    <w:rsid w:val="00C90D06"/>
    <w:rsid w:val="00C96C67"/>
    <w:rsid w:val="00CB4109"/>
    <w:rsid w:val="00CD7066"/>
    <w:rsid w:val="00CD732A"/>
    <w:rsid w:val="00D06823"/>
    <w:rsid w:val="00D1111F"/>
    <w:rsid w:val="00D1123B"/>
    <w:rsid w:val="00E13953"/>
    <w:rsid w:val="00E238C6"/>
    <w:rsid w:val="00EB65F9"/>
    <w:rsid w:val="00EF69C6"/>
    <w:rsid w:val="00F24FC5"/>
    <w:rsid w:val="00F7538D"/>
    <w:rsid w:val="00F94F9C"/>
    <w:rsid w:val="00F95334"/>
    <w:rsid w:val="00FF57A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E2D075"/>
  <w15:chartTrackingRefBased/>
  <w15:docId w15:val="{87F4F94E-3072-4B56-A42B-58B29D17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Verdana" w:hAnsi="Verdana"/>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EB65F9"/>
    <w:rPr>
      <w:color w:val="0000FF"/>
      <w:u w:val="single"/>
    </w:rPr>
  </w:style>
  <w:style w:type="paragraph" w:styleId="Sprechblasentext">
    <w:name w:val="Balloon Text"/>
    <w:basedOn w:val="Standard"/>
    <w:semiHidden/>
    <w:rsid w:val="00875A9D"/>
    <w:rPr>
      <w:rFonts w:ascii="Tahoma" w:hAnsi="Tahoma" w:cs="Tahoma"/>
      <w:sz w:val="16"/>
      <w:szCs w:val="16"/>
    </w:rPr>
  </w:style>
  <w:style w:type="paragraph" w:styleId="Kopfzeile">
    <w:name w:val="header"/>
    <w:basedOn w:val="Standard"/>
    <w:link w:val="KopfzeileZchn"/>
    <w:uiPriority w:val="99"/>
    <w:rsid w:val="002D7E61"/>
    <w:pPr>
      <w:tabs>
        <w:tab w:val="center" w:pos="4536"/>
        <w:tab w:val="right" w:pos="9072"/>
      </w:tabs>
    </w:pPr>
  </w:style>
  <w:style w:type="paragraph" w:styleId="Fuzeile">
    <w:name w:val="footer"/>
    <w:basedOn w:val="Standard"/>
    <w:rsid w:val="002D7E61"/>
    <w:pPr>
      <w:tabs>
        <w:tab w:val="center" w:pos="4536"/>
        <w:tab w:val="right" w:pos="9072"/>
      </w:tabs>
    </w:pPr>
  </w:style>
  <w:style w:type="table" w:styleId="Tabellenraster">
    <w:name w:val="Table Grid"/>
    <w:basedOn w:val="NormaleTabelle"/>
    <w:rsid w:val="00980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06640"/>
    <w:pPr>
      <w:spacing w:after="160" w:line="259" w:lineRule="auto"/>
      <w:ind w:left="720"/>
      <w:contextualSpacing/>
    </w:pPr>
    <w:rPr>
      <w:rFonts w:ascii="Calibri" w:hAnsi="Times New Roman"/>
      <w:lang w:val="de-DE" w:eastAsia="de-DE"/>
    </w:rPr>
  </w:style>
  <w:style w:type="character" w:customStyle="1" w:styleId="KopfzeileZchn">
    <w:name w:val="Kopfzeile Zchn"/>
    <w:basedOn w:val="Absatz-Standardschriftart"/>
    <w:link w:val="Kopfzeile"/>
    <w:uiPriority w:val="99"/>
    <w:rsid w:val="001D0B30"/>
    <w:rPr>
      <w:rFonts w:ascii="Verdana" w:hAnsi="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43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zahnaerztekammer.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800</Words>
  <Characters>5042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Bundeskurie Zahnärzte</Company>
  <LinksUpToDate>false</LinksUpToDate>
  <CharactersWithSpaces>5831</CharactersWithSpaces>
  <SharedDoc>false</SharedDoc>
  <HLinks>
    <vt:vector size="12" baseType="variant">
      <vt:variant>
        <vt:i4>6750266</vt:i4>
      </vt:variant>
      <vt:variant>
        <vt:i4>3</vt:i4>
      </vt:variant>
      <vt:variant>
        <vt:i4>0</vt:i4>
      </vt:variant>
      <vt:variant>
        <vt:i4>5</vt:i4>
      </vt:variant>
      <vt:variant>
        <vt:lpwstr>http://www.zahnaerztekammer.at/</vt:lpwstr>
      </vt:variant>
      <vt:variant>
        <vt:lpwstr/>
      </vt:variant>
      <vt:variant>
        <vt:i4>2228248</vt:i4>
      </vt:variant>
      <vt:variant>
        <vt:i4>0</vt:i4>
      </vt:variant>
      <vt:variant>
        <vt:i4>0</vt:i4>
      </vt:variant>
      <vt:variant>
        <vt:i4>5</vt:i4>
      </vt:variant>
      <vt:variant>
        <vt:lpwstr>mailto:office@zahnaerztekammer.at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Poscharnegg</dc:creator>
  <cp:keywords/>
  <dc:description/>
  <cp:lastModifiedBy>Thomas Horejs</cp:lastModifiedBy>
  <cp:revision>5</cp:revision>
  <cp:lastPrinted>2009-09-25T11:32:00Z</cp:lastPrinted>
  <dcterms:created xsi:type="dcterms:W3CDTF">2018-06-19T09:28:00Z</dcterms:created>
  <dcterms:modified xsi:type="dcterms:W3CDTF">2018-06-21T11:42:00Z</dcterms:modified>
</cp:coreProperties>
</file>